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5D6D1" w14:textId="77777777" w:rsidR="00595A29" w:rsidRDefault="006E04C7">
      <w:pPr>
        <w:pStyle w:val="Title"/>
      </w:pPr>
      <w:r>
        <w:rPr>
          <w:noProof/>
        </w:rPr>
        <w:drawing>
          <wp:inline distT="0" distB="0" distL="0" distR="0" wp14:anchorId="2316583A" wp14:editId="2B437EA4">
            <wp:extent cx="4160520" cy="1242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0520" cy="1242060"/>
                    </a:xfrm>
                    <a:prstGeom prst="rect">
                      <a:avLst/>
                    </a:prstGeom>
                    <a:noFill/>
                    <a:ln>
                      <a:noFill/>
                    </a:ln>
                  </pic:spPr>
                </pic:pic>
              </a:graphicData>
            </a:graphic>
          </wp:inline>
        </w:drawing>
      </w:r>
    </w:p>
    <w:tbl>
      <w:tblPr>
        <w:tblStyle w:val="TableGridLight"/>
        <w:tblW w:w="5781" w:type="pct"/>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has company name and second table has memo information"/>
      </w:tblPr>
      <w:tblGrid>
        <w:gridCol w:w="9990"/>
      </w:tblGrid>
      <w:tr w:rsidR="00595A29" w14:paraId="793680DD" w14:textId="77777777" w:rsidTr="0055616D">
        <w:trPr>
          <w:trHeight w:val="288"/>
        </w:trPr>
        <w:tc>
          <w:tcPr>
            <w:tcW w:w="9990" w:type="dxa"/>
          </w:tcPr>
          <w:p w14:paraId="19E411CF" w14:textId="2A26AFE3" w:rsidR="00595A29" w:rsidRPr="004D1A20" w:rsidRDefault="004267E1" w:rsidP="0055616D">
            <w:pPr>
              <w:pStyle w:val="Heading1"/>
              <w:jc w:val="center"/>
              <w:rPr>
                <w:sz w:val="44"/>
                <w:szCs w:val="44"/>
              </w:rPr>
            </w:pPr>
            <w:r w:rsidRPr="004D1A20">
              <w:rPr>
                <w:sz w:val="44"/>
                <w:szCs w:val="44"/>
              </w:rPr>
              <w:t>SNOW EMERGENCY</w:t>
            </w:r>
            <w:r w:rsidR="0033737D" w:rsidRPr="004D1A20">
              <w:rPr>
                <w:sz w:val="44"/>
                <w:szCs w:val="44"/>
              </w:rPr>
              <w:t xml:space="preserve"> POLICY</w:t>
            </w:r>
          </w:p>
          <w:p w14:paraId="5DDF7986" w14:textId="5B38E339" w:rsidR="004267E1" w:rsidRPr="00F314A2" w:rsidRDefault="004D1A20" w:rsidP="004267E1">
            <w:pPr>
              <w:rPr>
                <w:b/>
                <w:bCs/>
                <w:i/>
                <w:iCs/>
                <w:sz w:val="28"/>
                <w:szCs w:val="28"/>
                <w:u w:val="single"/>
              </w:rPr>
            </w:pPr>
            <w:r w:rsidRPr="00F314A2">
              <w:rPr>
                <w:b/>
                <w:bCs/>
                <w:i/>
                <w:iCs/>
                <w:sz w:val="28"/>
                <w:szCs w:val="28"/>
                <w:u w:val="single"/>
              </w:rPr>
              <w:t>SNOW EMERGENCY DESIGNATION:</w:t>
            </w:r>
          </w:p>
          <w:p w14:paraId="5A99641D" w14:textId="1F62A368" w:rsidR="004D1A20" w:rsidRPr="00940579" w:rsidRDefault="004D1A20" w:rsidP="004267E1">
            <w:pPr>
              <w:rPr>
                <w:b/>
                <w:bCs/>
                <w:i/>
                <w:iCs/>
                <w:sz w:val="24"/>
                <w:szCs w:val="24"/>
              </w:rPr>
            </w:pPr>
            <w:r w:rsidRPr="00F314A2">
              <w:rPr>
                <w:sz w:val="28"/>
                <w:szCs w:val="28"/>
              </w:rPr>
              <w:t>Whenever</w:t>
            </w:r>
            <w:proofErr w:type="gramStart"/>
            <w:r w:rsidRPr="00F314A2">
              <w:rPr>
                <w:sz w:val="28"/>
                <w:szCs w:val="28"/>
              </w:rPr>
              <w:t>,</w:t>
            </w:r>
            <w:r w:rsidR="00C32753">
              <w:rPr>
                <w:sz w:val="28"/>
                <w:szCs w:val="28"/>
              </w:rPr>
              <w:t xml:space="preserve"> </w:t>
            </w:r>
            <w:r w:rsidRPr="00F314A2">
              <w:rPr>
                <w:sz w:val="28"/>
                <w:szCs w:val="28"/>
              </w:rPr>
              <w:t>by reason</w:t>
            </w:r>
            <w:proofErr w:type="gramEnd"/>
            <w:r w:rsidRPr="00F314A2">
              <w:rPr>
                <w:sz w:val="28"/>
                <w:szCs w:val="28"/>
              </w:rPr>
              <w:t xml:space="preserve"> of sleet, freezing rain, or heavy snowfall, a serious public hazard exists impairing transportation and the movement of fire, medical and police protection services, a snow emergency may be declared which shall continue until such time as snow removal, spreading of sand, or salting operations have been declared completed.</w:t>
            </w:r>
            <w:r w:rsidR="00F314A2">
              <w:rPr>
                <w:sz w:val="28"/>
                <w:szCs w:val="28"/>
              </w:rPr>
              <w:t xml:space="preserve"> </w:t>
            </w:r>
            <w:r w:rsidRPr="00F314A2">
              <w:rPr>
                <w:sz w:val="28"/>
                <w:szCs w:val="28"/>
              </w:rPr>
              <w:t xml:space="preserve">When the aforesaid conditions exist, the </w:t>
            </w:r>
            <w:proofErr w:type="gramStart"/>
            <w:r w:rsidRPr="00F314A2">
              <w:rPr>
                <w:sz w:val="28"/>
                <w:szCs w:val="28"/>
              </w:rPr>
              <w:t>Mayor</w:t>
            </w:r>
            <w:proofErr w:type="gramEnd"/>
            <w:r w:rsidRPr="00F314A2">
              <w:rPr>
                <w:sz w:val="28"/>
                <w:szCs w:val="28"/>
              </w:rPr>
              <w:t xml:space="preserve"> or his/her designee shall have the authority to declare a snow emergency as well as completion of snow emergency operations. Whenever a</w:t>
            </w:r>
            <w:r w:rsidR="00C32753">
              <w:rPr>
                <w:sz w:val="28"/>
                <w:szCs w:val="28"/>
              </w:rPr>
              <w:t>n</w:t>
            </w:r>
            <w:r w:rsidRPr="00F314A2">
              <w:rPr>
                <w:sz w:val="28"/>
                <w:szCs w:val="28"/>
              </w:rPr>
              <w:t xml:space="preserve"> emergency exists, the </w:t>
            </w:r>
            <w:proofErr w:type="gramStart"/>
            <w:r w:rsidRPr="00F314A2">
              <w:rPr>
                <w:sz w:val="28"/>
                <w:szCs w:val="28"/>
              </w:rPr>
              <w:t>Mayor</w:t>
            </w:r>
            <w:proofErr w:type="gramEnd"/>
            <w:r w:rsidRPr="00F314A2">
              <w:rPr>
                <w:sz w:val="28"/>
                <w:szCs w:val="28"/>
              </w:rPr>
              <w:t xml:space="preserve"> or his/her </w:t>
            </w:r>
            <w:proofErr w:type="gramStart"/>
            <w:r w:rsidRPr="00F314A2">
              <w:rPr>
                <w:sz w:val="28"/>
                <w:szCs w:val="28"/>
              </w:rPr>
              <w:t>designee</w:t>
            </w:r>
            <w:proofErr w:type="gramEnd"/>
            <w:r w:rsidRPr="00F314A2">
              <w:rPr>
                <w:sz w:val="28"/>
                <w:szCs w:val="28"/>
              </w:rPr>
              <w:t xml:space="preserve"> shall cause an announcement thereof to be made within one hour by not less than two radio or television stations or other methods of communication whose normal operating range covers the City. When a snow emergency is in effect, no one shall park a motor vehicle on the streets within the City. </w:t>
            </w:r>
            <w:r w:rsidRPr="00940579">
              <w:rPr>
                <w:b/>
                <w:bCs/>
                <w:i/>
                <w:iCs/>
                <w:sz w:val="24"/>
                <w:szCs w:val="24"/>
              </w:rPr>
              <w:t>(Chapter 3, Section 317, Valley Municipal Code)</w:t>
            </w:r>
          </w:p>
          <w:p w14:paraId="24DA07D4" w14:textId="77777777" w:rsidR="00F314A2" w:rsidRPr="00F314A2" w:rsidRDefault="00F314A2" w:rsidP="004267E1">
            <w:pPr>
              <w:rPr>
                <w:b/>
                <w:bCs/>
                <w:i/>
                <w:iCs/>
                <w:sz w:val="28"/>
                <w:szCs w:val="28"/>
                <w:u w:val="single"/>
              </w:rPr>
            </w:pPr>
          </w:p>
          <w:p w14:paraId="6183AFC3" w14:textId="1FE9A57E" w:rsidR="004D1A20" w:rsidRPr="00F314A2" w:rsidRDefault="009044B6" w:rsidP="004267E1">
            <w:pPr>
              <w:rPr>
                <w:b/>
                <w:bCs/>
                <w:i/>
                <w:iCs/>
                <w:sz w:val="28"/>
                <w:szCs w:val="28"/>
                <w:u w:val="single"/>
              </w:rPr>
            </w:pPr>
            <w:r w:rsidRPr="00F314A2">
              <w:rPr>
                <w:b/>
                <w:bCs/>
                <w:i/>
                <w:iCs/>
                <w:sz w:val="28"/>
                <w:szCs w:val="28"/>
                <w:u w:val="single"/>
              </w:rPr>
              <w:t>PARKING DURING A SNOW EMERGENCY:</w:t>
            </w:r>
          </w:p>
          <w:p w14:paraId="52D93E68" w14:textId="34EDB656" w:rsidR="009044B6" w:rsidRDefault="009044B6" w:rsidP="004267E1">
            <w:pPr>
              <w:rPr>
                <w:sz w:val="28"/>
                <w:szCs w:val="28"/>
              </w:rPr>
            </w:pPr>
            <w:r w:rsidRPr="00F314A2">
              <w:rPr>
                <w:sz w:val="28"/>
                <w:szCs w:val="28"/>
              </w:rPr>
              <w:t xml:space="preserve">When a snow emergency is in effect, all vehicles parked on the streets in the City shall be ordered removed as herein provided.  All vehicles are to remain off said streets until the snow emergency operations have been completed. Vehicles parked in violation of this section are a nuisance and a danger and interfere with snow emergency operation; the chief of police thus has the authority to order the removal of any vehicle parked in violation of this section. The chief of police may issue such order personally or through one of the regular police officers.   The costs of towing and storage of any such vehicle shall be paid by the registered owner.  </w:t>
            </w:r>
            <w:r w:rsidRPr="00940579">
              <w:rPr>
                <w:b/>
                <w:bCs/>
                <w:i/>
                <w:iCs/>
                <w:sz w:val="24"/>
                <w:szCs w:val="24"/>
              </w:rPr>
              <w:t>(Chapter 3, Section 318, Valley Municipal Code)</w:t>
            </w:r>
          </w:p>
          <w:p w14:paraId="5134D15B" w14:textId="77777777" w:rsidR="00F314A2" w:rsidRPr="00F314A2" w:rsidRDefault="00F314A2" w:rsidP="004267E1">
            <w:pPr>
              <w:rPr>
                <w:sz w:val="28"/>
                <w:szCs w:val="28"/>
              </w:rPr>
            </w:pPr>
          </w:p>
          <w:p w14:paraId="1A0FAD9E" w14:textId="230CB388" w:rsidR="009044B6" w:rsidRPr="00F314A2" w:rsidRDefault="009044B6" w:rsidP="004267E1">
            <w:pPr>
              <w:rPr>
                <w:b/>
                <w:bCs/>
                <w:i/>
                <w:iCs/>
                <w:sz w:val="28"/>
                <w:szCs w:val="28"/>
                <w:u w:val="single"/>
              </w:rPr>
            </w:pPr>
            <w:r w:rsidRPr="00F314A2">
              <w:rPr>
                <w:b/>
                <w:bCs/>
                <w:i/>
                <w:iCs/>
                <w:sz w:val="28"/>
                <w:szCs w:val="28"/>
                <w:u w:val="single"/>
              </w:rPr>
              <w:t>SNOW REMOVAL FROM PRIVATE PROPERTY:</w:t>
            </w:r>
          </w:p>
          <w:p w14:paraId="545B3B77" w14:textId="6D52037F" w:rsidR="009044B6" w:rsidRDefault="009044B6" w:rsidP="004267E1">
            <w:pPr>
              <w:rPr>
                <w:sz w:val="28"/>
                <w:szCs w:val="28"/>
              </w:rPr>
            </w:pPr>
            <w:r w:rsidRPr="00F314A2">
              <w:rPr>
                <w:sz w:val="28"/>
                <w:szCs w:val="28"/>
              </w:rPr>
              <w:t xml:space="preserve">It shall be unlawful for any person or business within the City of Valley, Nebraska, to remove or cause to be removed snow from any business lot, parking lot, or other private premises, including but not limited to sidewalks and driveways, which </w:t>
            </w:r>
            <w:proofErr w:type="gramStart"/>
            <w:r w:rsidRPr="00F314A2">
              <w:rPr>
                <w:sz w:val="28"/>
                <w:szCs w:val="28"/>
              </w:rPr>
              <w:t>is</w:t>
            </w:r>
            <w:proofErr w:type="gramEnd"/>
            <w:r w:rsidRPr="00F314A2">
              <w:rPr>
                <w:sz w:val="28"/>
                <w:szCs w:val="28"/>
              </w:rPr>
              <w:t xml:space="preserve"> pushed or otherwise deposited onto the streets, street parking areas, or alleys of said City.</w:t>
            </w:r>
          </w:p>
          <w:p w14:paraId="3CB9C19A" w14:textId="77777777" w:rsidR="00C32753" w:rsidRPr="00F314A2" w:rsidRDefault="00C32753" w:rsidP="004267E1">
            <w:pPr>
              <w:rPr>
                <w:sz w:val="28"/>
                <w:szCs w:val="28"/>
              </w:rPr>
            </w:pPr>
          </w:p>
          <w:p w14:paraId="51DF0883" w14:textId="01EA8330" w:rsidR="009044B6" w:rsidRPr="00C32753" w:rsidRDefault="009044B6" w:rsidP="004267E1">
            <w:pPr>
              <w:rPr>
                <w:b/>
                <w:bCs/>
                <w:i/>
                <w:iCs/>
                <w:sz w:val="28"/>
                <w:szCs w:val="28"/>
                <w:u w:val="single"/>
              </w:rPr>
            </w:pPr>
            <w:r w:rsidRPr="00C32753">
              <w:rPr>
                <w:b/>
                <w:bCs/>
                <w:i/>
                <w:iCs/>
                <w:sz w:val="28"/>
                <w:szCs w:val="28"/>
                <w:u w:val="single"/>
              </w:rPr>
              <w:lastRenderedPageBreak/>
              <w:t>CLEANING OF SIDEWALKS</w:t>
            </w:r>
            <w:r w:rsidR="00F314A2" w:rsidRPr="00C32753">
              <w:rPr>
                <w:b/>
                <w:bCs/>
                <w:i/>
                <w:iCs/>
                <w:sz w:val="28"/>
                <w:szCs w:val="28"/>
                <w:u w:val="single"/>
              </w:rPr>
              <w:t>:</w:t>
            </w:r>
          </w:p>
          <w:p w14:paraId="4430E7AB" w14:textId="446DB97F" w:rsidR="00F314A2" w:rsidRPr="00940579" w:rsidRDefault="00F314A2" w:rsidP="004267E1">
            <w:pPr>
              <w:rPr>
                <w:b/>
                <w:bCs/>
                <w:i/>
                <w:iCs/>
                <w:sz w:val="24"/>
                <w:szCs w:val="24"/>
              </w:rPr>
            </w:pPr>
            <w:r w:rsidRPr="00F314A2">
              <w:rPr>
                <w:sz w:val="28"/>
                <w:szCs w:val="28"/>
              </w:rPr>
              <w:t xml:space="preserve">It shall be unlawful for the occupant of any lot or the owner of any vacant lot(s), within the corporate limits to allow snow, sleet, mud ice or other substance to remain upon said sidewalk.  All sidewalks within the business district shall be cleaned within five hours after the cessation of a storm, unless the storm or fall of snow shall have taken place during the night, in which case the sidewalk shall be cleaned before 8:30 A.M. the following day, provided, sidewalks within the residential areas of the City shall be cleaned within 24 hours after the cessation of the storm. </w:t>
            </w:r>
            <w:r w:rsidRPr="00940579">
              <w:rPr>
                <w:b/>
                <w:bCs/>
                <w:i/>
                <w:iCs/>
                <w:sz w:val="24"/>
                <w:szCs w:val="24"/>
              </w:rPr>
              <w:t>(Chapter 5, Section 308, Valley Municipal Code)</w:t>
            </w:r>
          </w:p>
          <w:p w14:paraId="545DF2A6" w14:textId="77777777" w:rsidR="004267E1" w:rsidRDefault="004267E1" w:rsidP="004267E1"/>
          <w:p w14:paraId="37AD9E2D" w14:textId="77777777" w:rsidR="004267E1" w:rsidRDefault="004267E1" w:rsidP="004267E1"/>
          <w:p w14:paraId="1FCAB3D8" w14:textId="77777777" w:rsidR="004267E1" w:rsidRDefault="004267E1" w:rsidP="004267E1"/>
          <w:p w14:paraId="5996B1B5" w14:textId="77777777" w:rsidR="004267E1" w:rsidRDefault="004267E1" w:rsidP="004267E1"/>
          <w:p w14:paraId="100FD636" w14:textId="77777777" w:rsidR="004267E1" w:rsidRDefault="004267E1" w:rsidP="004267E1"/>
          <w:p w14:paraId="7FEDC6B9" w14:textId="77777777" w:rsidR="004267E1" w:rsidRDefault="004267E1" w:rsidP="004267E1"/>
          <w:p w14:paraId="3A08A6A8" w14:textId="77777777" w:rsidR="004267E1" w:rsidRDefault="004267E1" w:rsidP="004267E1"/>
          <w:p w14:paraId="674102F4" w14:textId="77777777" w:rsidR="004267E1" w:rsidRDefault="004267E1" w:rsidP="004267E1"/>
          <w:p w14:paraId="62F3F617" w14:textId="77777777" w:rsidR="004267E1" w:rsidRDefault="004267E1" w:rsidP="004267E1"/>
          <w:p w14:paraId="38575973" w14:textId="77777777" w:rsidR="004267E1" w:rsidRDefault="004267E1" w:rsidP="004267E1"/>
          <w:p w14:paraId="0D5A36FC" w14:textId="77777777" w:rsidR="004267E1" w:rsidRDefault="004267E1" w:rsidP="004267E1"/>
          <w:p w14:paraId="5D403080" w14:textId="77777777" w:rsidR="004267E1" w:rsidRDefault="004267E1" w:rsidP="004267E1"/>
          <w:p w14:paraId="247A13FC" w14:textId="77777777" w:rsidR="004267E1" w:rsidRDefault="004267E1" w:rsidP="004267E1"/>
          <w:p w14:paraId="6AE1755F" w14:textId="77777777" w:rsidR="004267E1" w:rsidRDefault="004267E1" w:rsidP="004267E1"/>
          <w:p w14:paraId="23A95D4A" w14:textId="77777777" w:rsidR="004267E1" w:rsidRDefault="004267E1" w:rsidP="004267E1"/>
          <w:p w14:paraId="67C85D4E" w14:textId="77777777" w:rsidR="004267E1" w:rsidRDefault="004267E1" w:rsidP="004267E1"/>
          <w:p w14:paraId="694793E6" w14:textId="77777777" w:rsidR="004267E1" w:rsidRDefault="004267E1" w:rsidP="004267E1"/>
          <w:p w14:paraId="30679CB7" w14:textId="77777777" w:rsidR="004267E1" w:rsidRDefault="004267E1" w:rsidP="004267E1"/>
          <w:p w14:paraId="569885FA" w14:textId="77777777" w:rsidR="004267E1" w:rsidRDefault="004267E1" w:rsidP="004267E1"/>
          <w:p w14:paraId="49A5C664" w14:textId="77777777" w:rsidR="004267E1" w:rsidRDefault="004267E1" w:rsidP="004267E1"/>
          <w:p w14:paraId="064A774C" w14:textId="77777777" w:rsidR="004267E1" w:rsidRDefault="004267E1" w:rsidP="004267E1"/>
          <w:p w14:paraId="3981682F" w14:textId="77777777" w:rsidR="004267E1" w:rsidRDefault="004267E1" w:rsidP="004267E1"/>
          <w:p w14:paraId="2A5184F6" w14:textId="77777777" w:rsidR="004267E1" w:rsidRDefault="004267E1" w:rsidP="004267E1"/>
          <w:p w14:paraId="4086B027" w14:textId="77777777" w:rsidR="004267E1" w:rsidRDefault="004267E1" w:rsidP="004267E1"/>
          <w:p w14:paraId="1FD48555" w14:textId="77777777" w:rsidR="004267E1" w:rsidRDefault="004267E1" w:rsidP="004267E1"/>
          <w:p w14:paraId="5D38A15C" w14:textId="77777777" w:rsidR="004267E1" w:rsidRDefault="004267E1" w:rsidP="004267E1"/>
          <w:p w14:paraId="0BF54637" w14:textId="77777777" w:rsidR="004267E1" w:rsidRDefault="004267E1" w:rsidP="004267E1"/>
          <w:p w14:paraId="417C8943" w14:textId="77777777" w:rsidR="004267E1" w:rsidRDefault="004267E1" w:rsidP="004267E1"/>
          <w:p w14:paraId="67F8C01C" w14:textId="77777777" w:rsidR="004267E1" w:rsidRDefault="004267E1" w:rsidP="004267E1"/>
          <w:p w14:paraId="02EF7FEB" w14:textId="77777777" w:rsidR="004267E1" w:rsidRDefault="004267E1" w:rsidP="004267E1"/>
          <w:p w14:paraId="7F0EE364" w14:textId="6D0C01B3" w:rsidR="004267E1" w:rsidRPr="004267E1" w:rsidRDefault="004267E1" w:rsidP="004267E1"/>
        </w:tc>
      </w:tr>
      <w:tr w:rsidR="0055616D" w14:paraId="79670CDB" w14:textId="77777777" w:rsidTr="0055616D">
        <w:trPr>
          <w:trHeight w:val="288"/>
        </w:trPr>
        <w:tc>
          <w:tcPr>
            <w:tcW w:w="9990" w:type="dxa"/>
          </w:tcPr>
          <w:p w14:paraId="54D48E61" w14:textId="77777777" w:rsidR="0055616D" w:rsidRPr="004D1A20" w:rsidRDefault="0055616D" w:rsidP="0055616D">
            <w:pPr>
              <w:pStyle w:val="Heading1"/>
              <w:rPr>
                <w:sz w:val="44"/>
                <w:szCs w:val="44"/>
              </w:rPr>
            </w:pPr>
          </w:p>
        </w:tc>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104"/>
        <w:gridCol w:w="7536"/>
      </w:tblGrid>
      <w:tr w:rsidR="00595A29" w14:paraId="10F0CB1D" w14:textId="77777777">
        <w:trPr>
          <w:trHeight w:val="32"/>
        </w:trPr>
        <w:tc>
          <w:tcPr>
            <w:tcW w:w="1104" w:type="dxa"/>
            <w:tcBorders>
              <w:top w:val="nil"/>
              <w:bottom w:val="nil"/>
            </w:tcBorders>
          </w:tcPr>
          <w:p w14:paraId="3AFAA322" w14:textId="556CB446" w:rsidR="00595A29" w:rsidRPr="006E04C7" w:rsidRDefault="00595A29">
            <w:pPr>
              <w:spacing w:after="120" w:line="259" w:lineRule="auto"/>
              <w:rPr>
                <w:sz w:val="24"/>
                <w:szCs w:val="24"/>
              </w:rPr>
            </w:pPr>
          </w:p>
        </w:tc>
        <w:tc>
          <w:tcPr>
            <w:tcW w:w="7536" w:type="dxa"/>
            <w:tcBorders>
              <w:top w:val="nil"/>
              <w:bottom w:val="nil"/>
            </w:tcBorders>
          </w:tcPr>
          <w:p w14:paraId="3C512B24" w14:textId="0621B014" w:rsidR="00595A29" w:rsidRPr="006E04C7" w:rsidRDefault="00595A29">
            <w:pPr>
              <w:spacing w:after="120" w:line="259" w:lineRule="auto"/>
              <w:rPr>
                <w:sz w:val="24"/>
                <w:szCs w:val="24"/>
              </w:rPr>
            </w:pPr>
          </w:p>
        </w:tc>
      </w:tr>
      <w:tr w:rsidR="00595A29" w14:paraId="091F864D" w14:textId="77777777">
        <w:trPr>
          <w:trHeight w:val="37"/>
        </w:trPr>
        <w:tc>
          <w:tcPr>
            <w:tcW w:w="1104" w:type="dxa"/>
            <w:tcBorders>
              <w:top w:val="nil"/>
              <w:bottom w:val="nil"/>
            </w:tcBorders>
          </w:tcPr>
          <w:p w14:paraId="00ACD282" w14:textId="0A656479" w:rsidR="00595A29" w:rsidRPr="006E04C7" w:rsidRDefault="00595A29">
            <w:pPr>
              <w:spacing w:after="120" w:line="259" w:lineRule="auto"/>
              <w:rPr>
                <w:sz w:val="24"/>
                <w:szCs w:val="24"/>
              </w:rPr>
            </w:pPr>
          </w:p>
        </w:tc>
        <w:tc>
          <w:tcPr>
            <w:tcW w:w="7536" w:type="dxa"/>
            <w:tcBorders>
              <w:top w:val="nil"/>
              <w:bottom w:val="nil"/>
            </w:tcBorders>
          </w:tcPr>
          <w:p w14:paraId="011476D5" w14:textId="464CC66F" w:rsidR="00595A29" w:rsidRPr="006E04C7" w:rsidRDefault="00595A29">
            <w:pPr>
              <w:spacing w:after="120" w:line="259" w:lineRule="auto"/>
              <w:rPr>
                <w:sz w:val="24"/>
                <w:szCs w:val="24"/>
              </w:rPr>
            </w:pPr>
          </w:p>
        </w:tc>
      </w:tr>
      <w:tr w:rsidR="00595A29" w14:paraId="052C9F53" w14:textId="77777777">
        <w:trPr>
          <w:trHeight w:val="37"/>
        </w:trPr>
        <w:tc>
          <w:tcPr>
            <w:tcW w:w="1104" w:type="dxa"/>
            <w:tcBorders>
              <w:top w:val="nil"/>
              <w:bottom w:val="nil"/>
            </w:tcBorders>
          </w:tcPr>
          <w:p w14:paraId="196FEA70" w14:textId="29447A29" w:rsidR="00595A29" w:rsidRPr="006E04C7" w:rsidRDefault="00595A29">
            <w:pPr>
              <w:spacing w:after="120" w:line="259" w:lineRule="auto"/>
              <w:rPr>
                <w:sz w:val="24"/>
                <w:szCs w:val="24"/>
              </w:rPr>
            </w:pPr>
          </w:p>
        </w:tc>
        <w:tc>
          <w:tcPr>
            <w:tcW w:w="7536" w:type="dxa"/>
            <w:tcBorders>
              <w:top w:val="nil"/>
              <w:bottom w:val="nil"/>
            </w:tcBorders>
          </w:tcPr>
          <w:p w14:paraId="75818733" w14:textId="6ECC28C2" w:rsidR="00595A29" w:rsidRPr="006E04C7" w:rsidRDefault="00595A29">
            <w:pPr>
              <w:spacing w:after="120" w:line="259" w:lineRule="auto"/>
              <w:rPr>
                <w:sz w:val="24"/>
                <w:szCs w:val="24"/>
              </w:rPr>
            </w:pPr>
          </w:p>
        </w:tc>
      </w:tr>
      <w:tr w:rsidR="00595A29" w14:paraId="222F25D9" w14:textId="77777777">
        <w:trPr>
          <w:trHeight w:val="37"/>
        </w:trPr>
        <w:tc>
          <w:tcPr>
            <w:tcW w:w="1104" w:type="dxa"/>
            <w:tcBorders>
              <w:top w:val="nil"/>
              <w:bottom w:val="nil"/>
            </w:tcBorders>
          </w:tcPr>
          <w:p w14:paraId="1BE8E6EE" w14:textId="3D59D0D0" w:rsidR="00595A29" w:rsidRPr="006E04C7" w:rsidRDefault="00595A29">
            <w:pPr>
              <w:spacing w:after="120" w:line="259" w:lineRule="auto"/>
              <w:rPr>
                <w:sz w:val="24"/>
                <w:szCs w:val="24"/>
              </w:rPr>
            </w:pPr>
          </w:p>
        </w:tc>
        <w:tc>
          <w:tcPr>
            <w:tcW w:w="7536" w:type="dxa"/>
            <w:tcBorders>
              <w:top w:val="nil"/>
              <w:bottom w:val="nil"/>
            </w:tcBorders>
          </w:tcPr>
          <w:p w14:paraId="50EFFFA4" w14:textId="430F4F16" w:rsidR="00595A29" w:rsidRPr="006E04C7" w:rsidRDefault="00595A29">
            <w:pPr>
              <w:spacing w:after="120" w:line="259" w:lineRule="auto"/>
              <w:rPr>
                <w:sz w:val="24"/>
                <w:szCs w:val="24"/>
              </w:rPr>
            </w:pPr>
          </w:p>
        </w:tc>
      </w:tr>
      <w:tr w:rsidR="00595A29" w14:paraId="015EBFAF" w14:textId="77777777">
        <w:tc>
          <w:tcPr>
            <w:tcW w:w="1104" w:type="dxa"/>
            <w:tcBorders>
              <w:top w:val="nil"/>
              <w:bottom w:val="single" w:sz="4" w:space="0" w:color="A6A6A6" w:themeColor="background1" w:themeShade="A6"/>
            </w:tcBorders>
            <w:tcMar>
              <w:bottom w:w="576" w:type="dxa"/>
            </w:tcMar>
          </w:tcPr>
          <w:p w14:paraId="05CBC58F" w14:textId="57CE2735" w:rsidR="00595A29" w:rsidRPr="006E04C7" w:rsidRDefault="00595A29">
            <w:pPr>
              <w:spacing w:after="120" w:line="259" w:lineRule="auto"/>
              <w:rPr>
                <w:sz w:val="24"/>
                <w:szCs w:val="24"/>
              </w:rPr>
            </w:pPr>
          </w:p>
        </w:tc>
        <w:tc>
          <w:tcPr>
            <w:tcW w:w="7536" w:type="dxa"/>
            <w:tcBorders>
              <w:top w:val="nil"/>
              <w:bottom w:val="single" w:sz="4" w:space="0" w:color="A6A6A6" w:themeColor="background1" w:themeShade="A6"/>
            </w:tcBorders>
            <w:tcMar>
              <w:bottom w:w="576" w:type="dxa"/>
            </w:tcMar>
          </w:tcPr>
          <w:p w14:paraId="7566BC9D" w14:textId="14D2031D" w:rsidR="00595A29" w:rsidRPr="006E04C7" w:rsidRDefault="00595A29">
            <w:pPr>
              <w:spacing w:after="120" w:line="259" w:lineRule="auto"/>
              <w:rPr>
                <w:sz w:val="24"/>
                <w:szCs w:val="24"/>
              </w:rPr>
            </w:pPr>
          </w:p>
        </w:tc>
      </w:tr>
      <w:tr w:rsidR="00595A29" w14:paraId="1ED03CCE" w14:textId="77777777">
        <w:trPr>
          <w:trHeight w:val="288"/>
        </w:trPr>
        <w:tc>
          <w:tcPr>
            <w:tcW w:w="1104" w:type="dxa"/>
            <w:tcBorders>
              <w:top w:val="single" w:sz="4" w:space="0" w:color="A6A6A6" w:themeColor="background1" w:themeShade="A6"/>
            </w:tcBorders>
            <w:tcMar>
              <w:top w:w="144" w:type="dxa"/>
            </w:tcMar>
          </w:tcPr>
          <w:p w14:paraId="2AEC5EBD" w14:textId="77777777" w:rsidR="00595A29" w:rsidRPr="006E04C7" w:rsidRDefault="00595A29">
            <w:pPr>
              <w:spacing w:after="120" w:line="259" w:lineRule="auto"/>
              <w:rPr>
                <w:sz w:val="24"/>
                <w:szCs w:val="24"/>
              </w:rPr>
            </w:pPr>
          </w:p>
        </w:tc>
        <w:tc>
          <w:tcPr>
            <w:tcW w:w="7536" w:type="dxa"/>
            <w:tcBorders>
              <w:top w:val="single" w:sz="4" w:space="0" w:color="A6A6A6" w:themeColor="background1" w:themeShade="A6"/>
            </w:tcBorders>
            <w:tcMar>
              <w:top w:w="144" w:type="dxa"/>
            </w:tcMar>
          </w:tcPr>
          <w:p w14:paraId="46113FFA" w14:textId="77777777" w:rsidR="00BD07A9" w:rsidRPr="006E04C7" w:rsidRDefault="00BD07A9">
            <w:pPr>
              <w:spacing w:after="120" w:line="259" w:lineRule="auto"/>
              <w:rPr>
                <w:sz w:val="24"/>
                <w:szCs w:val="24"/>
              </w:rPr>
            </w:pPr>
          </w:p>
        </w:tc>
      </w:tr>
    </w:tbl>
    <w:p w14:paraId="35B95C4A" w14:textId="77777777" w:rsidR="00595A29" w:rsidRDefault="00595A29"/>
    <w:sectPr w:rsidR="00595A29">
      <w:footerReference w:type="default" r:id="rId8"/>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6F34" w14:textId="77777777" w:rsidR="00BD07A9" w:rsidRDefault="00BD07A9">
      <w:pPr>
        <w:spacing w:after="0" w:line="240" w:lineRule="auto"/>
      </w:pPr>
      <w:r>
        <w:separator/>
      </w:r>
    </w:p>
  </w:endnote>
  <w:endnote w:type="continuationSeparator" w:id="0">
    <w:p w14:paraId="25B782EB" w14:textId="77777777" w:rsidR="00BD07A9" w:rsidRDefault="00BD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299169"/>
      <w:docPartObj>
        <w:docPartGallery w:val="Page Numbers (Bottom of Page)"/>
        <w:docPartUnique/>
      </w:docPartObj>
    </w:sdtPr>
    <w:sdtEndPr>
      <w:rPr>
        <w:noProof/>
      </w:rPr>
    </w:sdtEndPr>
    <w:sdtContent>
      <w:p w14:paraId="32629C56" w14:textId="77777777" w:rsidR="00595A29" w:rsidRDefault="00D77C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5C70C" w14:textId="77777777" w:rsidR="00BD07A9" w:rsidRDefault="00BD07A9">
      <w:pPr>
        <w:spacing w:after="0" w:line="240" w:lineRule="auto"/>
      </w:pPr>
      <w:r>
        <w:separator/>
      </w:r>
    </w:p>
  </w:footnote>
  <w:footnote w:type="continuationSeparator" w:id="0">
    <w:p w14:paraId="4BEDF9E3" w14:textId="77777777" w:rsidR="00BD07A9" w:rsidRDefault="00BD07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A9"/>
    <w:rsid w:val="00201891"/>
    <w:rsid w:val="00306307"/>
    <w:rsid w:val="0033737D"/>
    <w:rsid w:val="00390BCD"/>
    <w:rsid w:val="00394E0B"/>
    <w:rsid w:val="004267E1"/>
    <w:rsid w:val="004C2E9D"/>
    <w:rsid w:val="004D1A20"/>
    <w:rsid w:val="0055616D"/>
    <w:rsid w:val="00595A29"/>
    <w:rsid w:val="005E0F03"/>
    <w:rsid w:val="00696B3E"/>
    <w:rsid w:val="006D69F0"/>
    <w:rsid w:val="006E04C7"/>
    <w:rsid w:val="00751185"/>
    <w:rsid w:val="00795131"/>
    <w:rsid w:val="007B3B75"/>
    <w:rsid w:val="00812C84"/>
    <w:rsid w:val="009044B6"/>
    <w:rsid w:val="00940579"/>
    <w:rsid w:val="009575A2"/>
    <w:rsid w:val="00BD07A9"/>
    <w:rsid w:val="00C32753"/>
    <w:rsid w:val="00CE4F23"/>
    <w:rsid w:val="00D77C46"/>
    <w:rsid w:val="00E8007C"/>
    <w:rsid w:val="00F3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BB80"/>
  <w15:chartTrackingRefBased/>
  <w15:docId w15:val="{7AE62212-D8C1-432E-AA96-DE3964F0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ggen\AppData\Roaming\Microsoft\Templates\Memo%20(simple%20design).dotx" TargetMode="External"/></Relationship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B995D-6EFA-4A65-A101-7C721B23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53</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Eggen</dc:creator>
  <cp:keywords/>
  <dc:description/>
  <cp:lastModifiedBy>Doug Eggen</cp:lastModifiedBy>
  <cp:revision>6</cp:revision>
  <dcterms:created xsi:type="dcterms:W3CDTF">2024-12-02T13:44:00Z</dcterms:created>
  <dcterms:modified xsi:type="dcterms:W3CDTF">2024-12-02T14:36:00Z</dcterms:modified>
</cp:coreProperties>
</file>